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Mont Vernon Heritage Commission</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Public Meeting Minutes October 19, 2023</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Draft</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In Attendance: Rebecca Schwarz, Zoe Fimbel, Anna Szok, Howard Brown, Sarah Beth Ross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Absent:  Brian Billow</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Called to Order: 7:00pm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Spring Bulb Fundraiser: </w:t>
      </w:r>
      <w:r w:rsidDel="00000000" w:rsidR="00000000" w:rsidRPr="00000000">
        <w:rPr>
          <w:rtl w:val="0"/>
        </w:rPr>
        <w:t xml:space="preserve">Schwarz updates the group that the fundraiser is complete and advises that the fundraiser raised $327 from unique sources that we have not seen in previous fundraisers. This fundraiser was completely reactive, meaning there was no push beyond some facebook posts with a link to the fundraiser. Schwarz asks if the upcoming wreath fundraiser should be more in person, with the commission purchasing wreaths to sell onsite on a certain day in a planned event. The commission ultimately decides not to do so this year.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National Registry Nomination: </w:t>
      </w:r>
      <w:r w:rsidDel="00000000" w:rsidR="00000000" w:rsidRPr="00000000">
        <w:rPr>
          <w:rtl w:val="0"/>
        </w:rPr>
        <w:t xml:space="preserve">Anna Szok has put together a nomination package and has been communicating with the NH representative responsible for making the recommendation. This rep has stated the nomination should be on the January 2024 agenda.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Calendars:</w:t>
      </w:r>
      <w:r w:rsidDel="00000000" w:rsidR="00000000" w:rsidRPr="00000000">
        <w:rPr>
          <w:rtl w:val="0"/>
        </w:rPr>
        <w:t xml:space="preserve"> The calendar post is live on Facebook for residents to submit their photos. Submissions are being accepted until November 1 and then the calendar pre orders will be ongoing til December 1.</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Anti-virus:</w:t>
      </w:r>
      <w:r w:rsidDel="00000000" w:rsidR="00000000" w:rsidRPr="00000000">
        <w:rPr>
          <w:rtl w:val="0"/>
        </w:rPr>
        <w:t xml:space="preserve"> Schwarz states the BitDefender Anti-Virus has auto-renewed on the Heritage Commission computer and she asks to be reimbursed $59.99 for the annual fee.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Szok motions, second by Brown to reimburse Schwarz $59.99 for Anti-Virus protection, no further discussion, all in favor, motion passed.</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Other Business:</w:t>
      </w:r>
      <w:r w:rsidDel="00000000" w:rsidR="00000000" w:rsidRPr="00000000">
        <w:rPr>
          <w:rtl w:val="0"/>
        </w:rPr>
        <w:t xml:space="preserve"> Schwarz updates the group on the status of the Feasibility Study, which has been value engineered which has reduced the cost of the project, but the numbers are still not final.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Meeting Minutes:</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There were no minutes available for review</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Szok motions to adjourn second by Brown</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Meeting Adjourned: 7:45pm</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Next meeting: November 8, 2022</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Respectfully Submitted,</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Rebecca Schwarz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Chair</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